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(Johnston</w:t>
      </w:r>
      <w:r>
        <w:t xml:space="preserve"> </w:t>
      </w:r>
      <w:r>
        <w:rPr>
          <w:iCs/>
          <w:i/>
        </w:rPr>
        <w:t xml:space="preserve">et al.</w:t>
      </w:r>
      <w:r>
        <w:t xml:space="preserve">, in press; Hadley &amp; Smith, 1987; Curtis</w:t>
      </w:r>
      <w:r>
        <w:t xml:space="preserve"> </w:t>
      </w:r>
      <w:r>
        <w:rPr>
          <w:iCs/>
          <w:i/>
        </w:rPr>
        <w:t xml:space="preserve">et al.</w:t>
      </w:r>
      <w:r>
        <w:t xml:space="preserve">, 2019)</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5"/>
    <w:bookmarkStart w:id="336"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 Behav</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2022-06-28T17:17:53Z</dcterms:created>
  <dcterms:modified xsi:type="dcterms:W3CDTF">2022-06-28T17:17:53Z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